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00"/>
        <w:jc w:val="center"/>
      </w:pPr>
      <w:r>
        <w:rPr>
          <w:rFonts w:ascii="Arial" w:cs="Arial" w:eastAsia="Arial" w:hAnsi="Arial"/>
          <w:b/>
          <w:bCs/>
          <w:color w:val="2B6B55"/>
          <w:sz w:val="56"/>
          <w:szCs w:val="56"/>
        </w:rPr>
        <w:t xml:space="preserve">1099 OPS</w:t>
      </w:r>
    </w:p>
    <w:p>
      <w:pPr>
        <w:spacing w:after="600"/>
        <w:jc w:val="center"/>
      </w:pPr>
      <w:r>
        <w:rPr>
          <w:rFonts w:ascii="Arial" w:cs="Arial" w:eastAsia="Arial" w:hAnsi="Arial"/>
          <w:b/>
          <w:bCs/>
          <w:color w:val="0A0F1A"/>
          <w:spacing w:val="150"/>
          <w:sz w:val="40"/>
          <w:szCs w:val="40"/>
        </w:rPr>
        <w:t xml:space="preserve">THE 1099 TRANSITION KIT</w:t>
      </w:r>
    </w:p>
    <w:p>
      <w:pPr>
        <w:pBdr>
          <w:top w:val="single" w:color="2B6B55" w:sz="2" w:space="12"/>
          <w:bottom w:val="single" w:color="2B6B55" w:sz="2" w:space="12"/>
        </w:pBdr>
        <w:spacing w:after="100"/>
        <w:jc w:val="center"/>
      </w:pPr>
      <w:r>
        <w:rPr>
          <w:rFonts w:ascii="Arial" w:cs="Arial" w:eastAsia="Arial" w:hAnsi="Arial"/>
          <w:color w:val="5A6275"/>
          <w:sz w:val="24"/>
          <w:szCs w:val="24"/>
        </w:rPr>
        <w:t xml:space="preserve">The Complete Checklist for Healthcare Professionals</w:t>
      </w:r>
    </w:p>
    <w:p>
      <w:pPr>
        <w:pBdr>
          <w:bottom w:val="single" w:color="2B6B55" w:sz="2" w:space="12"/>
        </w:pBdr>
        <w:spacing w:after="200" w:before="40"/>
        <w:jc w:val="center"/>
      </w:pPr>
      <w:r>
        <w:rPr>
          <w:rFonts w:ascii="Arial" w:cs="Arial" w:eastAsia="Arial" w:hAnsi="Arial"/>
          <w:i/>
          <w:iCs/>
          <w:color w:val="5A6275"/>
          <w:sz w:val="22"/>
          <w:szCs w:val="22"/>
        </w:rPr>
        <w:t xml:space="preserve">Going from W-2 Employee to Independent Contractor</w:t>
      </w:r>
    </w:p>
    <w:p>
      <w:pPr>
        <w:spacing w:before="1200"/>
      </w:pPr>
    </w:p>
    <w:p>
      <w:pPr>
        <w:spacing w:after="100"/>
        <w:jc w:val="center"/>
      </w:pPr>
      <w:r>
        <w:rPr>
          <w:rFonts w:ascii="Arial" w:cs="Arial" w:eastAsia="Arial" w:hAnsi="Arial"/>
          <w:color w:val="5A6275"/>
          <w:sz w:val="20"/>
          <w:szCs w:val="20"/>
        </w:rPr>
        <w:t xml:space="preserve">For CRNAs  •  Nurse Practitioners  •  Physician Assistants</w:t>
      </w:r>
    </w:p>
    <w:p>
      <w:pPr>
        <w:spacing w:after="100"/>
        <w:jc w:val="center"/>
      </w:pPr>
      <w:r>
        <w:rPr>
          <w:rFonts w:ascii="Arial" w:cs="Arial" w:eastAsia="Arial" w:hAnsi="Arial"/>
          <w:color w:val="5A6275"/>
          <w:sz w:val="20"/>
          <w:szCs w:val="20"/>
        </w:rPr>
        <w:t xml:space="preserve">Physicians  •  Therapists  •  All 1099 Healthcare Contractors</w:t>
      </w:r>
    </w:p>
    <w:p>
      <w:pPr>
        <w:spacing w:before="800"/>
      </w:pPr>
    </w:p>
    <w:p>
      <w:pPr>
        <w:jc w:val="center"/>
      </w:pPr>
      <w:r>
        <w:rPr>
          <w:rFonts w:ascii="Arial" w:cs="Arial" w:eastAsia="Arial" w:hAnsi="Arial"/>
          <w:b/>
          <w:bCs/>
          <w:color w:val="2B6B55"/>
          <w:sz w:val="22"/>
          <w:szCs w:val="22"/>
        </w:rPr>
        <w:t xml:space="preserve">1099ops.app</w:t>
      </w:r>
    </w:p>
    <w:p>
      <w:pPr>
        <w:spacing w:after="200"/>
        <w:jc w:val="center"/>
      </w:pPr>
      <w:r>
        <w:rPr>
          <w:rFonts w:ascii="Arial" w:cs="Arial" w:eastAsia="Arial" w:hAnsi="Arial"/>
          <w:color w:val="5A6275"/>
          <w:sz w:val="18"/>
          <w:szCs w:val="18"/>
        </w:rPr>
        <w:t xml:space="preserve">April 2026 Edition</w:t>
      </w:r>
    </w:p>
    <w:p>
      <w:pPr>
        <w:sectPr>
          <w:pgSz w:w="12240" w:h="15840" w:orient="portrait"/>
          <w:pgMar w:top="1440" w:right="1440" w:bottom="1440" w:left="1440" w:header="708" w:footer="708" w:gutter="0"/>
          <w:pgNumType/>
          <w:docGrid w:linePitch="360"/>
        </w:sectPr>
      </w:pPr>
    </w:p>
    <w:p>
      <w:pPr>
        <w:pStyle w:val="Heading1"/>
      </w:pPr>
      <w:r>
        <w:t xml:space="preserve">How to Use This Kit</w:t>
      </w:r>
    </w:p>
    <w:p>
      <w:pPr>
        <w:spacing w:after="200"/>
      </w:pPr>
      <w:r>
        <w:rPr>
          <w:rFonts w:ascii="Arial" w:cs="Arial" w:eastAsia="Arial" w:hAnsi="Arial"/>
          <w:color w:val="0A0F1A"/>
          <w:sz w:val="22"/>
          <w:szCs w:val="22"/>
        </w:rPr>
        <w:t xml:space="preserve">This transition kit is your step-by-step operational checklist for moving from W-2 employment to 1099 independent contracting as a healthcare professional. It covers five phases: entity formation, tax setup, insurance, credentialing, and contract negotiation.</w:t>
      </w:r>
    </w:p>
    <w:p>
      <w:pPr>
        <w:spacing w:after="200"/>
      </w:pPr>
      <w:r>
        <w:rPr>
          <w:rFonts w:ascii="Arial" w:cs="Arial" w:eastAsia="Arial" w:hAnsi="Arial"/>
          <w:color w:val="0A0F1A"/>
          <w:sz w:val="22"/>
          <w:szCs w:val="22"/>
        </w:rPr>
        <w:t xml:space="preserve">Print it out. Check off each item as you complete it. The notes column gives you key details and resources for each step. If you need deeper guidance on any topic, visit 1099ops.app/blog for comprehensive articles on every aspect of independent healthcare practice.</w:t>
      </w:r>
    </w:p>
    <w:p>
      <w:pPr>
        <w:pBdr>
          <w:top w:val="single" w:color="D4622A" w:sz="6" w:space="4"/>
          <w:left w:val="single" w:color="D4622A" w:sz="6" w:space="8"/>
        </w:pBdr>
        <w:spacing w:after="60" w:before="200"/>
        <w:ind w:left="200"/>
      </w:pPr>
      <w:r>
        <w:rPr>
          <w:rFonts w:ascii="Arial" w:cs="Arial" w:eastAsia="Arial" w:hAnsi="Arial"/>
          <w:b/>
          <w:bCs/>
          <w:color w:val="D4622A"/>
          <w:sz w:val="20"/>
          <w:szCs w:val="20"/>
        </w:rPr>
        <w:t xml:space="preserve">⚠ Before You Start</w:t>
      </w:r>
    </w:p>
    <w:p>
      <w:pPr>
        <w:pBdr>
          <w:left w:val="single" w:color="D4622A" w:sz="6" w:space="8"/>
        </w:pBdr>
        <w:spacing w:after="200"/>
        <w:ind w:left="200"/>
      </w:pPr>
      <w:r>
        <w:rPr>
          <w:rFonts w:ascii="Arial" w:cs="Arial" w:eastAsia="Arial" w:hAnsi="Arial"/>
          <w:color w:val="5A6275"/>
          <w:sz w:val="20"/>
          <w:szCs w:val="20"/>
        </w:rPr>
        <w:t xml:space="preserve">We strongly recommend consulting with a CPA who specializes in healthcare contractors before making any entity or tax elections. The right advisor will save you many times their fee in tax optimization. Ask for referrals in your professional network or contact us at 1099ops.app for recommendations in your area.</w:t>
      </w:r>
    </w:p>
    <w:p>
      <w:r>
        <w:br w:type="page"/>
      </w:r>
    </w:p>
    <w:p>
      <w:pPr>
        <w:pStyle w:val="Heading1"/>
      </w:pPr>
      <w:r>
        <w:t xml:space="preserve">Phase 1: Business Formation</w:t>
      </w:r>
    </w:p>
    <w:p>
      <w:pPr>
        <w:spacing w:after="200"/>
      </w:pPr>
      <w:r>
        <w:rPr>
          <w:rFonts w:ascii="Arial" w:cs="Arial" w:eastAsia="Arial" w:hAnsi="Arial"/>
          <w:i/>
          <w:iCs/>
          <w:color w:val="5A6275"/>
          <w:sz w:val="22"/>
          <w:szCs w:val="22"/>
        </w:rPr>
        <w:t xml:space="preserve">Estimated time: 1-2 weeks  |  Estimated cost: $100-$750</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430"/>
        <w:gridCol w:w="4430"/>
      </w:tblGrid>
      <w:tr>
        <w:tc>
          <w:tcPr>
            <w:tcW w:type="dxa" w:w="5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 Item</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Decide on entity type (LLC recommended for most)</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Research your state’s requirements (LLC vs PLLC)</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File Articles of Organization with your state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Cost: $50-$500 depending on state</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Apply for EIN at IRS.gov</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Free, instant online</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Open business checking account</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Keep 100% separate from personal</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Open business savings account</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For tax reserves (25-30% of income)</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Get a business credit card</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Use exclusively for business expenses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Set up QuickBooks or accounting software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Connect to business bank account</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Consult with a healthcare-specialized CPA</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Discuss S-Corp election timing</w:t>
            </w:r>
          </w:p>
        </w:tc>
      </w:tr>
    </w:tbl>
    <w:p>
      <w:pPr>
        <w:pBdr>
          <w:top w:val="single" w:color="D4622A" w:sz="6" w:space="4"/>
          <w:left w:val="single" w:color="D4622A" w:sz="6" w:space="8"/>
        </w:pBdr>
        <w:spacing w:after="60" w:before="200"/>
        <w:ind w:left="200"/>
      </w:pPr>
      <w:r>
        <w:rPr>
          <w:rFonts w:ascii="Arial" w:cs="Arial" w:eastAsia="Arial" w:hAnsi="Arial"/>
          <w:b/>
          <w:bCs/>
          <w:color w:val="D4622A"/>
          <w:sz w:val="20"/>
          <w:szCs w:val="20"/>
        </w:rPr>
        <w:t xml:space="preserve">⚠ State-Specific Note</w:t>
      </w:r>
    </w:p>
    <w:p>
      <w:pPr>
        <w:pBdr>
          <w:left w:val="single" w:color="D4622A" w:sz="6" w:space="8"/>
        </w:pBdr>
        <w:spacing w:after="200"/>
        <w:ind w:left="200"/>
      </w:pPr>
      <w:r>
        <w:rPr>
          <w:rFonts w:ascii="Arial" w:cs="Arial" w:eastAsia="Arial" w:hAnsi="Arial"/>
          <w:color w:val="5A6275"/>
          <w:sz w:val="20"/>
          <w:szCs w:val="20"/>
        </w:rPr>
        <w:t xml:space="preserve">Some states require healthcare professionals to form a PLLC (Professional LLC) instead of a standard LLC. States including Texas, New York, California, and Washington have specific PLLC rules. Check your state’s requirements before filing.</w:t>
      </w:r>
    </w:p>
    <w:p>
      <w:r>
        <w:br w:type="page"/>
      </w:r>
    </w:p>
    <w:p>
      <w:pPr>
        <w:pStyle w:val="Heading1"/>
      </w:pPr>
      <w:r>
        <w:t xml:space="preserve">Phase 2: Tax &amp; Financial Setup</w:t>
      </w:r>
    </w:p>
    <w:p>
      <w:pPr>
        <w:spacing w:after="200"/>
      </w:pPr>
      <w:r>
        <w:rPr>
          <w:rFonts w:ascii="Arial" w:cs="Arial" w:eastAsia="Arial" w:hAnsi="Arial"/>
          <w:i/>
          <w:iCs/>
          <w:color w:val="5A6275"/>
          <w:sz w:val="22"/>
          <w:szCs w:val="22"/>
        </w:rPr>
        <w:t xml:space="preserve">Estimated time: 2-4 weeks  |  Estimated cost: $500-$2,000 (CPA + payroll setup)</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430"/>
        <w:gridCol w:w="4430"/>
      </w:tblGrid>
      <w:tr>
        <w:tc>
          <w:tcPr>
            <w:tcW w:type="dxa" w:w="5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 Item</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File Form 2553 for S-Corp election (if applicable)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Must file within 75 days of formation</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Set up payroll service (Gusto, ADP, or CPA-managed)</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Required for S-Corp salary payments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Determine your reasonable salary</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Use BLS data for your specialty and region</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Set up quarterly estimated tax payment schedule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April 15, June 15, Sept 15, Jan 15</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Identify and document all deductible business expenses</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Use the 1099 OPS Deduction Tracker</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Research retirement plan options (Solo 401k vs SEP IRA)</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Open account before year-end to maximize contributions</w:t>
            </w:r>
          </w:p>
        </w:tc>
      </w:tr>
    </w:tbl>
    <w:p>
      <w:pPr>
        <w:pBdr>
          <w:top w:val="single" w:color="D4622A" w:sz="6" w:space="4"/>
          <w:left w:val="single" w:color="D4622A" w:sz="6" w:space="8"/>
        </w:pBdr>
        <w:spacing w:after="60" w:before="200"/>
        <w:ind w:left="200"/>
      </w:pPr>
      <w:r>
        <w:rPr>
          <w:rFonts w:ascii="Arial" w:cs="Arial" w:eastAsia="Arial" w:hAnsi="Arial"/>
          <w:b/>
          <w:bCs/>
          <w:color w:val="D4622A"/>
          <w:sz w:val="20"/>
          <w:szCs w:val="20"/>
        </w:rPr>
        <w:t xml:space="preserve">⚠ S-Corp Timing</w:t>
      </w:r>
    </w:p>
    <w:p>
      <w:pPr>
        <w:pBdr>
          <w:left w:val="single" w:color="D4622A" w:sz="6" w:space="8"/>
        </w:pBdr>
        <w:spacing w:after="200"/>
        <w:ind w:left="200"/>
      </w:pPr>
      <w:r>
        <w:rPr>
          <w:rFonts w:ascii="Arial" w:cs="Arial" w:eastAsia="Arial" w:hAnsi="Arial"/>
          <w:color w:val="5A6275"/>
          <w:sz w:val="20"/>
          <w:szCs w:val="20"/>
        </w:rPr>
        <w:t xml:space="preserve">File Form 2553 within 75 days of your LLC formation date to have the S-Corp election apply from day one. If you miss this window, you can still file for the following tax year, or request late election relief — but don’t count on the IRS granting it.</w:t>
      </w:r>
    </w:p>
    <w:p>
      <w:r>
        <w:br w:type="page"/>
      </w:r>
    </w:p>
    <w:p>
      <w:pPr>
        <w:pStyle w:val="Heading1"/>
      </w:pPr>
      <w:r>
        <w:t xml:space="preserve">Phase 3: Insurance Coverage</w:t>
      </w:r>
    </w:p>
    <w:p>
      <w:pPr>
        <w:spacing w:after="200"/>
      </w:pPr>
      <w:r>
        <w:rPr>
          <w:rFonts w:ascii="Arial" w:cs="Arial" w:eastAsia="Arial" w:hAnsi="Arial"/>
          <w:i/>
          <w:iCs/>
          <w:color w:val="5A6275"/>
          <w:sz w:val="22"/>
          <w:szCs w:val="22"/>
        </w:rPr>
        <w:t xml:space="preserve">Estimated time: 1-2 weeks  |  Estimated cost: Varies by coverage</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430"/>
        <w:gridCol w:w="4430"/>
      </w:tblGrid>
      <w:tr>
        <w:tc>
          <w:tcPr>
            <w:tcW w:type="dxa" w:w="5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 Item</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Get malpractice insurance (occurrence-based recommended)</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Cost: $2,000-$8,000/year by specialty</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Secure health insurance coverage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ACA marketplace, professional association, or spouse’s plan</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Get disability insurance (own-occupation policy)</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Cost: 1-3% of annual income</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Check workers’ compensation requirements in your state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Some states and facilities require it</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Review and update life insurance if needed</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Consider coverage for business obligations</w:t>
            </w:r>
          </w:p>
        </w:tc>
      </w:tr>
    </w:tbl>
    <w:p>
      <w:pPr>
        <w:pStyle w:val="Heading1"/>
      </w:pPr>
      <w:r>
        <w:t xml:space="preserve">Phase 4: Credentialing</w:t>
      </w:r>
    </w:p>
    <w:p>
      <w:pPr>
        <w:spacing w:after="200"/>
      </w:pPr>
      <w:r>
        <w:rPr>
          <w:rFonts w:ascii="Arial" w:cs="Arial" w:eastAsia="Arial" w:hAnsi="Arial"/>
          <w:i/>
          <w:iCs/>
          <w:color w:val="5A6275"/>
          <w:sz w:val="22"/>
          <w:szCs w:val="22"/>
        </w:rPr>
        <w:t xml:space="preserve">Estimated time: 2-16 weeks (depends on facility)  |  Start ASAP</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430"/>
        <w:gridCol w:w="4430"/>
      </w:tblGrid>
      <w:tr>
        <w:tc>
          <w:tcPr>
            <w:tcW w:type="dxa" w:w="5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 Item</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Compile credentialing packet (licenses, certs, references)</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Keep digital and physical copies</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Verify all state licenses are current</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Apply for additional state licenses if needed</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Confirm DEA registration (if applicable)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Must be registered in each practice state</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Update BLS/ACLS/PALS certifications</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Ensure none expire during credentialing</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Complete background check and drug screening</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Many facilities require within 90 days</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Gather 3-5 professional references</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Recent supervisors or colleagues preferred</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Prepare updated CV with complete practice history</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Include all facilities, dates, and case types</w:t>
            </w:r>
          </w:p>
        </w:tc>
      </w:tr>
    </w:tbl>
    <w:p>
      <w:pPr>
        <w:pBdr>
          <w:top w:val="single" w:color="D4622A" w:sz="6" w:space="4"/>
          <w:left w:val="single" w:color="D4622A" w:sz="6" w:space="8"/>
        </w:pBdr>
        <w:spacing w:after="60" w:before="200"/>
        <w:ind w:left="200"/>
      </w:pPr>
      <w:r>
        <w:rPr>
          <w:rFonts w:ascii="Arial" w:cs="Arial" w:eastAsia="Arial" w:hAnsi="Arial"/>
          <w:b/>
          <w:bCs/>
          <w:color w:val="D4622A"/>
          <w:sz w:val="20"/>
          <w:szCs w:val="20"/>
        </w:rPr>
        <w:t xml:space="preserve">⚠ Start Early</w:t>
      </w:r>
    </w:p>
    <w:p>
      <w:pPr>
        <w:pBdr>
          <w:left w:val="single" w:color="D4622A" w:sz="6" w:space="8"/>
        </w:pBdr>
        <w:spacing w:after="200"/>
        <w:ind w:left="200"/>
      </w:pPr>
      <w:r>
        <w:rPr>
          <w:rFonts w:ascii="Arial" w:cs="Arial" w:eastAsia="Arial" w:hAnsi="Arial"/>
          <w:color w:val="5A6275"/>
          <w:sz w:val="20"/>
          <w:szCs w:val="20"/>
        </w:rPr>
        <w:t xml:space="preserve">Credentialing is almost always the longest part of the transition. Begin assembling your packet in Phase 1, even before your entity is fully set up. Having a complete, organized credentialing packet can cut weeks off the process.</w:t>
      </w:r>
    </w:p>
    <w:p>
      <w:r>
        <w:br w:type="page"/>
      </w:r>
    </w:p>
    <w:p>
      <w:pPr>
        <w:pStyle w:val="Heading1"/>
      </w:pPr>
      <w:r>
        <w:t xml:space="preserve">Phase 5: Contract Negotiation</w:t>
      </w:r>
    </w:p>
    <w:p>
      <w:pPr>
        <w:spacing w:after="200"/>
      </w:pPr>
      <w:r>
        <w:rPr>
          <w:rFonts w:ascii="Arial" w:cs="Arial" w:eastAsia="Arial" w:hAnsi="Arial"/>
          <w:i/>
          <w:iCs/>
          <w:color w:val="5A6275"/>
          <w:sz w:val="22"/>
          <w:szCs w:val="22"/>
        </w:rPr>
        <w:t xml:space="preserve">Estimated time: 1-3 weeks  |  Cost: $300-$1,000 (attorney review recommended)</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430"/>
        <w:gridCol w:w="4430"/>
      </w:tblGrid>
      <w:tr>
        <w:tc>
          <w:tcPr>
            <w:tcW w:type="dxa" w:w="5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 Item</w:t>
            </w:r>
          </w:p>
        </w:tc>
        <w:tc>
          <w:tcPr>
            <w:tcW w:type="dxa" w:w="443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Review contract with a healthcare attorney or advisor</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Never sign without professional review</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Verify rate is 20-30%+ above your W-2 equivalent</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Account for self-funded benefits and taxes</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Check for non-compete clauses</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Negotiate removal or narrowing if present</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Confirm termination provisions (30-90 day notice)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Protect yourself from sudden cancellation</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Clarify call coverage terms and compensation</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Get call pay in writing</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Understand cancellation/low-census policies</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What happens when shifts are cancelled?</w:t>
            </w:r>
          </w:p>
        </w:tc>
      </w:tr>
      <w:tr>
        <w:tc>
          <w:tcPr>
            <w:tcW w:type="dxa" w:w="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Verify payment terms (NET 15 or NET 30 recommended)</w:t>
            </w:r>
          </w:p>
        </w:tc>
        <w:tc>
          <w:tcPr>
            <w:tcW w:type="dxa" w:w="443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Avoid NET 60+ arrangements</w:t>
            </w:r>
          </w:p>
        </w:tc>
      </w:tr>
      <w:tr>
        <w:tc>
          <w:tcPr>
            <w:tcW w:type="dxa" w:w="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pPr>
              <w:jc w:val="center"/>
            </w:pPr>
            <w:r>
              <w:rPr>
                <w:rFonts w:ascii="Segoe UI Symbol" w:cs="Segoe UI Symbol" w:eastAsia="Segoe UI Symbol" w:hAnsi="Segoe UI Symbol"/>
                <w:color w:val="2B6B55"/>
                <w:sz w:val="28"/>
                <w:szCs w:val="28"/>
              </w:rPr>
              <w:t xml:space="preserv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Confirm malpractice requirements match your coverage</w:t>
            </w:r>
          </w:p>
        </w:tc>
        <w:tc>
          <w:tcPr>
            <w:tcW w:type="dxa" w:w="443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Occurrence vs claims-made, coverage limits</w:t>
            </w:r>
          </w:p>
        </w:tc>
      </w:tr>
    </w:tbl>
    <w:p>
      <w:r>
        <w:br w:type="page"/>
      </w:r>
    </w:p>
    <w:p>
      <w:pPr>
        <w:pStyle w:val="Heading1"/>
      </w:pPr>
      <w:r>
        <w:t xml:space="preserve">Annual Tax Calendar for 1099 Healthcare Contractors</w:t>
      </w:r>
    </w:p>
    <w:p>
      <w:pPr>
        <w:spacing w:after="200"/>
      </w:pPr>
      <w:r>
        <w:rPr>
          <w:rFonts w:ascii="Arial" w:cs="Arial" w:eastAsia="Arial" w:hAnsi="Arial"/>
          <w:color w:val="0A0F1A"/>
          <w:sz w:val="22"/>
          <w:szCs w:val="22"/>
        </w:rPr>
        <w:t xml:space="preserve">Post this on your wall. Set reminders for every date. Missing a quarterly payment triggers IRS penalties.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560"/>
        <w:gridCol w:w="3000"/>
      </w:tblGrid>
      <w:tr>
        <w:tc>
          <w:tcPr>
            <w:tcW w:type="dxa" w:w="18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Date</w:t>
            </w:r>
          </w:p>
        </w:tc>
        <w:tc>
          <w:tcPr>
            <w:tcW w:type="dxa" w:w="456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w:t>
            </w:r>
          </w:p>
        </w:tc>
        <w:tc>
          <w:tcPr>
            <w:tcW w:type="dxa" w:w="30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Form / Resource</w:t>
            </w:r>
          </w:p>
        </w:tc>
      </w:tr>
      <w:tr>
        <w:tc>
          <w:tcPr>
            <w:tcW w:type="dxa" w:w="18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January 15</w:t>
            </w:r>
          </w:p>
        </w:tc>
        <w:tc>
          <w:tcPr>
            <w:tcW w:type="dxa" w:w="45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Q4 estimated tax payment due (prior year)</w:t>
            </w:r>
          </w:p>
        </w:tc>
        <w:tc>
          <w:tcPr>
            <w:tcW w:type="dxa" w:w="30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IRS Form 1040-ES</w:t>
            </w:r>
          </w:p>
        </w:tc>
      </w:tr>
      <w:tr>
        <w:tc>
          <w:tcPr>
            <w:tcW w:type="dxa" w:w="18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January 31</w:t>
            </w:r>
          </w:p>
        </w:tc>
        <w:tc>
          <w:tcPr>
            <w:tcW w:type="dxa" w:w="45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W-2s due to yourself (S-Corp)</w:t>
            </w:r>
          </w:p>
        </w:tc>
        <w:tc>
          <w:tcPr>
            <w:tcW w:type="dxa" w:w="30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From your payroll service</w:t>
            </w:r>
          </w:p>
        </w:tc>
      </w:tr>
      <w:tr>
        <w:tc>
          <w:tcPr>
            <w:tcW w:type="dxa" w:w="18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January 31</w:t>
            </w:r>
          </w:p>
        </w:tc>
        <w:tc>
          <w:tcPr>
            <w:tcW w:type="dxa" w:w="45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1099-NEC forms received from facilities</w:t>
            </w:r>
          </w:p>
        </w:tc>
        <w:tc>
          <w:tcPr>
            <w:tcW w:type="dxa" w:w="30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Report on your tax return</w:t>
            </w:r>
          </w:p>
        </w:tc>
      </w:tr>
      <w:tr>
        <w:tc>
          <w:tcPr>
            <w:tcW w:type="dxa" w:w="18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March 15</w:t>
            </w:r>
          </w:p>
        </w:tc>
        <w:tc>
          <w:tcPr>
            <w:tcW w:type="dxa" w:w="45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S-Corp tax return due (Form 1120-S)</w:t>
            </w:r>
          </w:p>
        </w:tc>
        <w:tc>
          <w:tcPr>
            <w:tcW w:type="dxa" w:w="30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File or extend (Form 7004)</w:t>
            </w:r>
          </w:p>
        </w:tc>
      </w:tr>
      <w:tr>
        <w:tc>
          <w:tcPr>
            <w:tcW w:type="dxa" w:w="18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April 15</w:t>
            </w:r>
          </w:p>
        </w:tc>
        <w:tc>
          <w:tcPr>
            <w:tcW w:type="dxa" w:w="45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Personal tax return due (Form 1040)</w:t>
            </w:r>
          </w:p>
        </w:tc>
        <w:tc>
          <w:tcPr>
            <w:tcW w:type="dxa" w:w="30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File or extend (Form 4868)</w:t>
            </w:r>
          </w:p>
        </w:tc>
      </w:tr>
      <w:tr>
        <w:tc>
          <w:tcPr>
            <w:tcW w:type="dxa" w:w="18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April 15</w:t>
            </w:r>
          </w:p>
        </w:tc>
        <w:tc>
          <w:tcPr>
            <w:tcW w:type="dxa" w:w="45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Q1 estimated tax payment due</w:t>
            </w:r>
          </w:p>
        </w:tc>
        <w:tc>
          <w:tcPr>
            <w:tcW w:type="dxa" w:w="30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IRS Form 1040-ES</w:t>
            </w:r>
          </w:p>
        </w:tc>
      </w:tr>
      <w:tr>
        <w:tc>
          <w:tcPr>
            <w:tcW w:type="dxa" w:w="18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June 15</w:t>
            </w:r>
          </w:p>
        </w:tc>
        <w:tc>
          <w:tcPr>
            <w:tcW w:type="dxa" w:w="45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Q2 estimated tax payment due</w:t>
            </w:r>
          </w:p>
        </w:tc>
        <w:tc>
          <w:tcPr>
            <w:tcW w:type="dxa" w:w="30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IRS Form 1040-ES</w:t>
            </w:r>
          </w:p>
        </w:tc>
      </w:tr>
      <w:tr>
        <w:tc>
          <w:tcPr>
            <w:tcW w:type="dxa" w:w="18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September 15</w:t>
            </w:r>
          </w:p>
        </w:tc>
        <w:tc>
          <w:tcPr>
            <w:tcW w:type="dxa" w:w="45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Q3 estimated tax payment due</w:t>
            </w:r>
          </w:p>
        </w:tc>
        <w:tc>
          <w:tcPr>
            <w:tcW w:type="dxa" w:w="30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IRS Form 1040-ES</w:t>
            </w:r>
          </w:p>
        </w:tc>
      </w:tr>
      <w:tr>
        <w:tc>
          <w:tcPr>
            <w:tcW w:type="dxa" w:w="18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September 15</w:t>
            </w:r>
          </w:p>
        </w:tc>
        <w:tc>
          <w:tcPr>
            <w:tcW w:type="dxa" w:w="45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Extended S-Corp return due</w:t>
            </w:r>
          </w:p>
        </w:tc>
        <w:tc>
          <w:tcPr>
            <w:tcW w:type="dxa" w:w="30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If you filed Form 7004</w:t>
            </w:r>
          </w:p>
        </w:tc>
      </w:tr>
      <w:tr>
        <w:tc>
          <w:tcPr>
            <w:tcW w:type="dxa" w:w="18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October 15</w:t>
            </w:r>
          </w:p>
        </w:tc>
        <w:tc>
          <w:tcPr>
            <w:tcW w:type="dxa" w:w="45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Extended personal return due</w:t>
            </w:r>
          </w:p>
        </w:tc>
        <w:tc>
          <w:tcPr>
            <w:tcW w:type="dxa" w:w="30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If you filed Form 4868</w:t>
            </w:r>
          </w:p>
        </w:tc>
      </w:tr>
      <w:tr>
        <w:tc>
          <w:tcPr>
            <w:tcW w:type="dxa" w:w="18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December 31</w:t>
            </w:r>
          </w:p>
        </w:tc>
        <w:tc>
          <w:tcPr>
            <w:tcW w:type="dxa" w:w="45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Maximize retirement contributions</w:t>
            </w:r>
          </w:p>
        </w:tc>
        <w:tc>
          <w:tcPr>
            <w:tcW w:type="dxa" w:w="30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Solo 401k / SEP IRA deadline</w:t>
            </w:r>
          </w:p>
        </w:tc>
      </w:tr>
      <w:tr>
        <w:tc>
          <w:tcPr>
            <w:tcW w:type="dxa" w:w="18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December 31</w:t>
            </w:r>
          </w:p>
        </w:tc>
        <w:tc>
          <w:tcPr>
            <w:tcW w:type="dxa" w:w="45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0A0F1A"/>
                <w:sz w:val="20"/>
                <w:szCs w:val="20"/>
              </w:rPr>
              <w:t xml:space="preserve">Review deductions and tax position with CPA</w:t>
            </w:r>
          </w:p>
        </w:tc>
        <w:tc>
          <w:tcPr>
            <w:tcW w:type="dxa" w:w="30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Year-end planning</w:t>
            </w:r>
          </w:p>
        </w:tc>
      </w:tr>
    </w:tbl>
    <w:p>
      <w:r>
        <w:br w:type="page"/>
      </w:r>
    </w:p>
    <w:p>
      <w:pPr>
        <w:pStyle w:val="Heading1"/>
      </w:pPr>
      <w:r>
        <w:t xml:space="preserve">Quick Reference: Tax Deductions for Healthcare Contractors</w:t>
      </w:r>
    </w:p>
    <w:p>
      <w:pPr>
        <w:spacing w:after="200"/>
      </w:pPr>
      <w:r>
        <w:rPr>
          <w:rFonts w:ascii="Arial" w:cs="Arial" w:eastAsia="Arial" w:hAnsi="Arial"/>
          <w:color w:val="0A0F1A"/>
          <w:sz w:val="22"/>
          <w:szCs w:val="22"/>
        </w:rPr>
        <w:t xml:space="preserve">Every item below reduces your taxable income. Track them all from day one using accounting software or the 1099 OPS Deduction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200"/>
        <w:gridCol w:w="4660"/>
      </w:tblGrid>
      <w:tr>
        <w:tc>
          <w:tcPr>
            <w:tcW w:type="dxa" w:w="35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Expense Category</w:t>
            </w:r>
          </w:p>
        </w:tc>
        <w:tc>
          <w:tcPr>
            <w:tcW w:type="dxa" w:w="120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Deductible</w:t>
            </w:r>
          </w:p>
        </w:tc>
        <w:tc>
          <w:tcPr>
            <w:tcW w:type="dxa" w:w="4660"/>
            <w:tcBorders>
              <w:top w:val="single" w:color="D0D0D0" w:sz="1"/>
              <w:left w:val="single" w:color="D0D0D0" w:sz="1"/>
              <w:bottom w:val="single" w:color="D0D0D0" w:sz="1"/>
              <w:right w:val="single" w:color="D0D0D0" w:sz="1"/>
            </w:tcBorders>
            <w:shd w:fill="2B6B55"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Malpractice insurance</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Annual premium</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Health / dental / vision insurance</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Above-the-line deduction</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Disability insurance</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Varies</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May be deductible depending on structure</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Continuing education &amp; certifications</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CE courses, exam fees, recertification</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State licensing fees</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Each state where you practice</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DEA registration</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Per-state registration</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Professional association dues</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AANA, AANP, AMA, etc.</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Business travel (airfare, hotel, car)</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Must be away from tax home</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Meals during business travel</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50%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Keep receipts and document business purpose</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Business mileage</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67¢/mile</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Log every trip (use MileIQ or Everlance)</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Home office</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Varies</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Dedicated space, calculated by square footage</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Cell phone &amp; internet</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 business use</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Track business vs personal usage</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Scrubs / OR footwear</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If required and not suitable for everyday wear</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Accounting &amp; legal fees</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CPA, attorney, tax prep</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Business software &amp; subscriptions</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QuickBooks, scheduling, credentialing tools</w:t>
            </w:r>
          </w:p>
        </w:tc>
      </w:tr>
      <w:tr>
        <w:tc>
          <w:tcPr>
            <w:tcW w:type="dxa" w:w="35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bCs/>
                <w:color w:val="0A0F1A"/>
                <w:sz w:val="20"/>
                <w:szCs w:val="20"/>
              </w:rPr>
              <w:t xml:space="preserve">Retirement contributions</w:t>
            </w:r>
          </w:p>
        </w:tc>
        <w:tc>
          <w:tcPr>
            <w:tcW w:type="dxa" w:w="120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Up to limits</w:t>
            </w:r>
          </w:p>
        </w:tc>
        <w:tc>
          <w:tcPr>
            <w:tcW w:type="dxa" w:w="4660"/>
            <w:tcBorders>
              <w:top w:val="single" w:color="D0D0D0" w:sz="1"/>
              <w:left w:val="single" w:color="D0D0D0" w:sz="1"/>
              <w:bottom w:val="single" w:color="D0D0D0" w:sz="1"/>
              <w:right w:val="single" w:color="D0D0D0" w:sz="1"/>
            </w:tcBorders>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Solo 401k: up to $69,000+/year</w:t>
            </w:r>
          </w:p>
        </w:tc>
      </w:tr>
      <w:tr>
        <w:tc>
          <w:tcPr>
            <w:tcW w:type="dxa" w:w="35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bCs/>
                <w:color w:val="0A0F1A"/>
                <w:sz w:val="20"/>
                <w:szCs w:val="20"/>
              </w:rPr>
              <w:t xml:space="preserve">Business banking fees</w:t>
            </w:r>
          </w:p>
        </w:tc>
        <w:tc>
          <w:tcPr>
            <w:tcW w:type="dxa" w:w="120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2B6B55"/>
                <w:sz w:val="20"/>
                <w:szCs w:val="20"/>
              </w:rPr>
              <w:t xml:space="preserve">100%</w:t>
            </w:r>
          </w:p>
        </w:tc>
        <w:tc>
          <w:tcPr>
            <w:tcW w:type="dxa" w:w="4660"/>
            <w:tcBorders>
              <w:top w:val="single" w:color="D0D0D0" w:sz="1"/>
              <w:left w:val="single" w:color="D0D0D0" w:sz="1"/>
              <w:bottom w:val="single" w:color="D0D0D0" w:sz="1"/>
              <w:right w:val="single" w:color="D0D0D0" w:sz="1"/>
            </w:tcBorders>
            <w:shd w:fill="F7F7F5" w:val="clear"/>
            <w:tcMar>
              <w:top w:type="dxa" w:w="80"/>
              <w:left w:type="dxa" w:w="120"/>
              <w:bottom w:type="dxa" w:w="80"/>
              <w:right w:type="dxa" w:w="120"/>
            </w:tcMar>
            <w:vAlign w:val="center"/>
          </w:tcPr>
          <w:p>
            <w:r>
              <w:rPr>
                <w:rFonts w:ascii="Arial" w:cs="Arial" w:eastAsia="Arial" w:hAnsi="Arial"/>
                <w:b w:val="false"/>
                <w:bCs w:val="false"/>
                <w:color w:val="5A6275"/>
                <w:sz w:val="20"/>
                <w:szCs w:val="20"/>
              </w:rPr>
              <w:t xml:space="preserve">Monthly fees, wire transfer fees</w:t>
            </w:r>
          </w:p>
        </w:tc>
      </w:tr>
    </w:tbl>
    <w:p>
      <w:pPr>
        <w:spacing w:before="400"/>
      </w:pPr>
    </w:p>
    <w:p>
      <w:pPr>
        <w:pBdr>
          <w:top w:val="single" w:color="2B6B55" w:sz="6" w:space="12"/>
        </w:pBdr>
        <w:spacing w:after="120" w:before="200"/>
        <w:jc w:val="center"/>
      </w:pPr>
      <w:r>
        <w:rPr>
          <w:rFonts w:ascii="Arial" w:cs="Arial" w:eastAsia="Arial" w:hAnsi="Arial"/>
          <w:b/>
          <w:bCs/>
          <w:color w:val="2B6B55"/>
          <w:sz w:val="28"/>
          <w:szCs w:val="28"/>
        </w:rPr>
        <w:t xml:space="preserve">Ready to Simplify Your 1099 Operations?</w:t>
      </w:r>
    </w:p>
    <w:p>
      <w:pPr>
        <w:spacing w:after="120"/>
        <w:jc w:val="center"/>
      </w:pPr>
      <w:r>
        <w:rPr>
          <w:rFonts w:ascii="Arial" w:cs="Arial" w:eastAsia="Arial" w:hAnsi="Arial"/>
          <w:color w:val="5A6275"/>
          <w:sz w:val="22"/>
          <w:szCs w:val="22"/>
        </w:rPr>
        <w:t xml:space="preserve">1099 OPS is the operating system built specifically for independent healthcare professionals.</w:t>
      </w:r>
    </w:p>
    <w:p>
      <w:pPr>
        <w:spacing w:after="120"/>
        <w:jc w:val="center"/>
      </w:pPr>
      <w:r>
        <w:rPr>
          <w:rFonts w:ascii="Arial" w:cs="Arial" w:eastAsia="Arial" w:hAnsi="Arial"/>
          <w:color w:val="5A6275"/>
          <w:sz w:val="20"/>
          <w:szCs w:val="20"/>
        </w:rPr>
        <w:t xml:space="preserve">Tax tracking • Credentialing management • Contract templates • Expense tracking • Quarterly reminders</w:t>
      </w:r>
    </w:p>
    <w:p>
      <w:pPr>
        <w:spacing w:after="200"/>
        <w:jc w:val="center"/>
      </w:pPr>
      <w:r>
        <w:rPr>
          <w:rFonts w:ascii="Arial" w:cs="Arial" w:eastAsia="Arial" w:hAnsi="Arial"/>
          <w:b/>
          <w:bCs/>
          <w:color w:val="2B6B55"/>
          <w:sz w:val="24"/>
          <w:szCs w:val="24"/>
        </w:rPr>
        <w:t xml:space="preserve">Start your free trial at 1099ops.app</w:t>
      </w:r>
    </w:p>
    <w:p>
      <w:pPr>
        <w:pBdr>
          <w:bottom w:val="single" w:color="2B6B55" w:sz="6" w:space="12"/>
        </w:pBdr>
        <w:spacing w:after="100"/>
        <w:jc w:val="center"/>
      </w:pPr>
      <w:r>
        <w:rPr>
          <w:rFonts w:ascii="Arial" w:cs="Arial" w:eastAsia="Arial" w:hAnsi="Arial"/>
          <w:color w:val="5A6275"/>
          <w:sz w:val="18"/>
          <w:szCs w:val="18"/>
        </w:rPr>
        <w:t xml:space="preserve">Have questions? Email support@1099ops.app</w:t>
      </w:r>
    </w:p>
    <w:p>
      <w:pPr>
        <w:spacing w:before="200"/>
      </w:pPr>
    </w:p>
    <w:p>
      <w:pPr>
        <w:jc w:val="center"/>
      </w:pPr>
      <w:r>
        <w:rPr>
          <w:rFonts w:ascii="Arial" w:cs="Arial" w:eastAsia="Arial" w:hAnsi="Arial"/>
          <w:i/>
          <w:iCs/>
          <w:color w:val="5A6275"/>
          <w:sz w:val="16"/>
          <w:szCs w:val="16"/>
        </w:rPr>
        <w:t xml:space="preserve">This guide is for educational purposes only and does not constitute tax, legal, or financial advice. Consult qualified professionals for your specific situation.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6275"/>
        <w:sz w:val="16"/>
        <w:szCs w:val="16"/>
      </w:rPr>
      <w:t xml:space="preserve">1099ops.app  |  The Operating System for Independent Healthcare Professionals  |  Page </w:t>
    </w:r>
    <w:r>
      <w:rPr>
        <w:rFonts w:ascii="Arial" w:cs="Arial" w:eastAsia="Arial" w:hAnsi="Arial"/>
        <w:color w:val="5A627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A6275"/>
        <w:sz w:val="16"/>
        <w:szCs w:val="16"/>
      </w:rPr>
      <w:t xml:space="preserve">1099 OPS  |  The 1099 Transition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F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B6B55"/>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A0F1A"/>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D4622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2026-04-04T19:25:31.148Z</dcterms:created>
  <dcterms:modified xsi:type="dcterms:W3CDTF">2026-04-04T19:25:31.148Z</dcterms:modified>
</cp:coreProperties>
</file>

<file path=docProps/custom.xml><?xml version="1.0" encoding="utf-8"?>
<Properties xmlns="http://schemas.openxmlformats.org/officeDocument/2006/custom-properties" xmlns:vt="http://schemas.openxmlformats.org/officeDocument/2006/docPropsVTypes"/>
</file>